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SIE OUTLINE CHECKLIST</w:t>
      </w:r>
    </w:p>
    <w:p>
      <w:r>
        <w:rPr>
          <w:i/>
        </w:rPr>
        <w:t>SeriesPrepKit - seriesprepkit.com</w:t>
      </w:r>
    </w:p>
    <w:p>
      <w:r>
        <w:t>Official outline: FINRA - SIE Content Outline (2025). 75 scored questions, 1 hr 45 min, pass: 70 (scaled).</w:t>
      </w:r>
    </w:p>
    <w:p>
      <w:pPr>
        <w:spacing w:before="160"/>
      </w:pPr>
      <w:r>
        <w:rPr>
          <w:b/>
          <w:color w:val="14284B"/>
          <w:sz w:val="23"/>
        </w:rPr>
        <w:t>[ ] Knowledge of Capital Markets (16%, 12 questions)</w:t>
      </w:r>
    </w:p>
    <w:p>
      <w:pPr>
        <w:pStyle w:val="ListBullet"/>
      </w:pPr>
      <w:r>
        <w:t>[ ] Regulators and their lanes: SEC (federal securities law), SROs such as FINRA, MSRB and Cboe, state regulators (NASAA members), plus the Fed, Treasury/IRS, SIPC and FDIC.</w:t>
      </w:r>
    </w:p>
    <w:p>
      <w:pPr>
        <w:pStyle w:val="ListBullet"/>
      </w:pPr>
      <w:r>
        <w:t>[ ] Market participants: accredited, institutional and retail investors; introducing vs. clearing broker-dealers; transfer agents; DTCC and the OCC.</w:t>
      </w:r>
    </w:p>
    <w:p>
      <w:pPr>
        <w:pStyle w:val="ListBullet"/>
      </w:pPr>
      <w:r>
        <w:t>[ ] Primary vs. secondary market; the third market (listed stock traded OTC) and fourth market (institution to institution).</w:t>
      </w:r>
    </w:p>
    <w:p>
      <w:pPr>
        <w:pStyle w:val="ListBullet"/>
      </w:pPr>
      <w:r>
        <w:t>[ ] Fed tools and economics: monetary vs. fiscal policy, open market operations, discount rate vs. fed funds rate, business-cycle phases, leading/lagging/coincident indicators.</w:t>
      </w:r>
    </w:p>
    <w:p>
      <w:pPr>
        <w:pStyle w:val="ListBullet"/>
      </w:pPr>
      <w:r>
        <w:t>[ ] Offerings: best efforts vs. firm commitment, shelf registration, IPO vs. follow-on, Regulation D and Rule 144/144A basics.</w:t>
      </w:r>
    </w:p>
    <w:p>
      <w:r>
        <w:rPr>
          <w:i/>
          <w:sz w:val="18"/>
        </w:rPr>
        <w:t>Trap: Mixing up who regulates what: the MSRB writes municipal rules but does not enforce them against broker-dealers; FINRA and other regulators do.</w:t>
      </w:r>
    </w:p>
    <w:p>
      <w:pPr>
        <w:spacing w:before="160"/>
      </w:pPr>
      <w:r>
        <w:rPr>
          <w:b/>
          <w:color w:val="14284B"/>
          <w:sz w:val="23"/>
        </w:rPr>
        <w:t>[ ] Understanding Products and Their Risks (44%, 33 questions)</w:t>
      </w:r>
    </w:p>
    <w:p>
      <w:pPr>
        <w:pStyle w:val="ListBullet"/>
      </w:pPr>
      <w:r>
        <w:t>[ ] Equity: common vs. preferred, rights vs. warrants, ADRs; order of liquidation.</w:t>
      </w:r>
    </w:p>
    <w:p>
      <w:pPr>
        <w:pStyle w:val="ListBullet"/>
      </w:pPr>
      <w:r>
        <w:t>[ ] Debt: Treasuries, agencies, corporates, munis (GO vs. revenue); the inverse relationship between price and yield; callable and convertible features.</w:t>
      </w:r>
    </w:p>
    <w:p>
      <w:pPr>
        <w:pStyle w:val="ListBullet"/>
      </w:pPr>
      <w:r>
        <w:t>[ ] Options basics: calls vs. puts, strike, premium, in/out of the money, American vs. European, the ODD and the OCC.</w:t>
      </w:r>
    </w:p>
    <w:p>
      <w:pPr>
        <w:pStyle w:val="ListBullet"/>
      </w:pPr>
      <w:r>
        <w:t>[ ] Packaged products: open-end vs. closed-end funds, UITs, variable annuities; loads, share classes, breakpoints, letters of intent and rights of accumulation.</w:t>
      </w:r>
    </w:p>
    <w:p>
      <w:pPr>
        <w:pStyle w:val="ListBullet"/>
      </w:pPr>
      <w:r>
        <w:t>[ ] 529 plans, ABLE accounts, DPPs, REITs, hedge funds and ETPs (ETFs vs. ETNs), and the risk list: credit, interest-rate, liquidity, inflation, currency, political, prepayment.</w:t>
      </w:r>
    </w:p>
    <w:p>
      <w:r>
        <w:rPr>
          <w:i/>
          <w:sz w:val="18"/>
        </w:rPr>
        <w:t>Trap: Treating ETNs like ETFs: an ETN is unsecured debt of the issuer and carries that issuer's credit risk.</w:t>
      </w:r>
    </w:p>
    <w:p>
      <w:pPr>
        <w:spacing w:before="160"/>
      </w:pPr>
      <w:r>
        <w:rPr>
          <w:b/>
          <w:color w:val="14284B"/>
          <w:sz w:val="23"/>
        </w:rPr>
        <w:t>[ ] Understanding Trading, Customer Accounts and Prohibited Activities (31%, 23 questions)</w:t>
      </w:r>
    </w:p>
    <w:p>
      <w:pPr>
        <w:pStyle w:val="ListBullet"/>
      </w:pPr>
      <w:r>
        <w:t>[ ] Order types: market, limit, stop, stop-limit, GTC; principal vs. agency capacity.</w:t>
      </w:r>
    </w:p>
    <w:p>
      <w:pPr>
        <w:pStyle w:val="ListBullet"/>
      </w:pPr>
      <w:r>
        <w:t>[ ] Dividend dates (record, ex-dividend, payable) and settlement (regular way is T+1 for most securities since May 28, 2024).</w:t>
      </w:r>
    </w:p>
    <w:p>
      <w:pPr>
        <w:pStyle w:val="ListBullet"/>
      </w:pPr>
      <w:r>
        <w:t>[ ] Account types and registrations: cash vs. margin, discretionary, joint (JTWROS vs. TIC), custodial (UTMA/UGMA), trusts, IRAs and qualified plans.</w:t>
      </w:r>
    </w:p>
    <w:p>
      <w:pPr>
        <w:pStyle w:val="ListBullet"/>
      </w:pPr>
      <w:r>
        <w:t>[ ] AML: placement, layering, integration; SARs, CTRs (cash over $10,000), OFAC and the SDN list.</w:t>
      </w:r>
    </w:p>
    <w:p>
      <w:pPr>
        <w:pStyle w:val="ListBullet"/>
      </w:pPr>
      <w:r>
        <w:t>[ ] Prohibited activities: market manipulation, insider trading, front running, borrowing from customers, sharing in accounts, and financial exploitation of seniors.</w:t>
      </w:r>
    </w:p>
    <w:p>
      <w:r>
        <w:rPr>
          <w:i/>
          <w:sz w:val="18"/>
        </w:rPr>
        <w:t>Trap: Confusing the stages of money laundering or the thresholds: a CTR is for cash transactions over $10,000; a broker-dealer SAR threshold is $5,000 of suspicious activity.</w:t>
      </w:r>
    </w:p>
    <w:p>
      <w:pPr>
        <w:spacing w:before="160"/>
      </w:pPr>
      <w:r>
        <w:rPr>
          <w:b/>
          <w:color w:val="14284B"/>
          <w:sz w:val="23"/>
        </w:rPr>
        <w:t>[ ] Overview of the Regulatory Framework (9%, 7 questions)</w:t>
      </w:r>
    </w:p>
    <w:p>
      <w:pPr>
        <w:pStyle w:val="ListBullet"/>
      </w:pPr>
      <w:r>
        <w:t>[ ] SRO registration: Form U4 (registration) and U5 (termination) filing requirements.</w:t>
      </w:r>
    </w:p>
    <w:p>
      <w:pPr>
        <w:pStyle w:val="ListBullet"/>
      </w:pPr>
      <w:r>
        <w:t>[ ] Continuing education (Regulatory Element and Firm Element) and the Maintaining Qualifications Program.</w:t>
      </w:r>
    </w:p>
    <w:p>
      <w:pPr>
        <w:pStyle w:val="ListBullet"/>
      </w:pPr>
      <w:r>
        <w:t>[ ] Statutory disqualification, and FINRA's disciplinary and arbitration processes.</w:t>
      </w:r>
    </w:p>
    <w:p>
      <w:pPr>
        <w:pStyle w:val="ListBullet"/>
      </w:pPr>
      <w:r>
        <w:t>[ ] Outside business activities and private securities transactions (selling away) notice requirements.</w:t>
      </w:r>
    </w:p>
    <w:p>
      <w:r>
        <w:rPr>
          <w:i/>
          <w:sz w:val="18"/>
        </w:rPr>
        <w:t>Trap: Assuming passing the SIE registers you. It does not: registration requires a top-off exam and a sponsoring firm filing Form U4.</w:t>
      </w:r>
    </w:p>
    <w:p>
      <w:r>
        <w:rPr>
          <w:i/>
          <w:sz w:val="18"/>
        </w:rPr>
        <w:t>Checked against the official outline on 2026-09-23.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