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84B"/>
          <w:sz w:val="32"/>
        </w:rPr>
        <w:t>SIE CHEAT SHEET</w:t>
      </w:r>
    </w:p>
    <w:p>
      <w:r>
        <w:rPr>
          <w:i/>
        </w:rPr>
        <w:t>SeriesPrepKit - seriesprepkit.com</w:t>
      </w:r>
    </w:p>
    <w:p>
      <w:pPr>
        <w:spacing w:before="160"/>
      </w:pPr>
      <w:r>
        <w:rPr>
          <w:b/>
          <w:color w:val="14284B"/>
          <w:sz w:val="23"/>
        </w:rPr>
        <w:t>Formulas and concepts</w:t>
      </w:r>
    </w:p>
    <w:p>
      <w:r>
        <w:t>Current yield: Annual interest / market price</w:t>
      </w:r>
    </w:p>
    <w:p>
      <w:r>
        <w:rPr>
          <w:i/>
          <w:sz w:val="18"/>
        </w:rPr>
        <w:t>Example: A 5% bond ($50/year) priced at $1,000 x 0.92 = $920: current yield = 50 / 920 = 5.43%. Price below par, so current yield is above the coupon.</w:t>
      </w:r>
    </w:p>
    <w:p>
      <w:r>
        <w:t>Bond price vs. yield: Price and yield move in opposite directions</w:t>
      </w:r>
    </w:p>
    <w:p>
      <w:r>
        <w:rPr>
          <w:i/>
          <w:sz w:val="18"/>
        </w:rPr>
        <w:t>Example: Rates rise, existing bond prices fall. A discount bond has YTM &gt; current yield &gt; coupon; a premium bond is the reverse.</w:t>
      </w:r>
    </w:p>
    <w:p>
      <w:r>
        <w:t>Mutual fund sales charge %: (POP - NAV) / POP</w:t>
      </w:r>
    </w:p>
    <w:p>
      <w:r>
        <w:rPr>
          <w:i/>
          <w:sz w:val="18"/>
        </w:rPr>
        <w:t>Example: NAV $19.00, POP $20.00: sales charge = 1.00 / 20.00 = 5% (always divide by the offering price).</w:t>
      </w:r>
    </w:p>
    <w:p>
      <w:r>
        <w:t>Stock split: New shares = old x ratio; new price = old / ratio</w:t>
      </w:r>
    </w:p>
    <w:p>
      <w:r>
        <w:rPr>
          <w:i/>
          <w:sz w:val="18"/>
        </w:rPr>
        <w:t>Example: 100 shares at $60 with a 3-for-2 split: 150 shares at $40. Total value unchanged at $6,000.</w:t>
      </w:r>
    </w:p>
    <w:p>
      <w:r>
        <w:t>Long call breakeven: Strike + premium</w:t>
      </w:r>
    </w:p>
    <w:p>
      <w:r>
        <w:rPr>
          <w:i/>
          <w:sz w:val="18"/>
        </w:rPr>
        <w:t>Example: Buy 1 XYZ 50 call for $3: breakeven $53; max loss $300 (premium x 100 shares).</w:t>
      </w:r>
    </w:p>
    <w:p>
      <w:pPr>
        <w:spacing w:before="160"/>
      </w:pPr>
      <w:r>
        <w:rPr>
          <w:b/>
          <w:color w:val="14284B"/>
          <w:sz w:val="23"/>
        </w:rPr>
        <w:t>Numbers to memorize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839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258"/>
          </w:tcPr>
          <w:p>
            <w:r>
              <w:rPr>
                <w:b/>
              </w:rPr>
              <w:t>Number / rule</w:t>
            </w:r>
          </w:p>
        </w:tc>
        <w:tc>
          <w:tcPr>
            <w:tcW w:type="dxa" w:w="2839"/>
          </w:tcPr>
          <w:p>
            <w:r>
              <w:rPr>
                <w:b/>
              </w:rPr>
              <w:t>Source</w:t>
            </w:r>
          </w:p>
        </w:tc>
      </w:tr>
      <w:tr>
        <w:tc>
          <w:tcPr>
            <w:tcW w:type="dxa" w:w="2839"/>
          </w:tcPr>
          <w:p>
            <w:r>
              <w:t>Settlement, regular way</w:t>
            </w:r>
          </w:p>
        </w:tc>
        <w:tc>
          <w:tcPr>
            <w:tcW w:type="dxa" w:w="4258"/>
          </w:tcPr>
          <w:p>
            <w:r>
              <w:t>T+1 for most securities (since May 28, 2024)</w:t>
            </w:r>
          </w:p>
        </w:tc>
        <w:tc>
          <w:tcPr>
            <w:tcW w:type="dxa" w:w="2839"/>
          </w:tcPr>
          <w:p>
            <w:r>
              <w:t>SEC - Shortening the securities settlement cycle to T+1 (compliance date May 28, 2024)</w:t>
            </w:r>
          </w:p>
        </w:tc>
      </w:tr>
      <w:tr>
        <w:tc>
          <w:tcPr>
            <w:tcW w:type="dxa" w:w="2839"/>
          </w:tcPr>
          <w:p>
            <w:r>
              <w:t>Currency Transaction Report</w:t>
            </w:r>
          </w:p>
        </w:tc>
        <w:tc>
          <w:tcPr>
            <w:tcW w:type="dxa" w:w="4258"/>
          </w:tcPr>
          <w:p>
            <w:r>
              <w:t>Cash over $10,000 in a day</w:t>
            </w:r>
          </w:p>
        </w:tc>
        <w:tc>
          <w:tcPr>
            <w:tcW w:type="dxa" w:w="2839"/>
          </w:tcPr>
          <w:p>
            <w:r>
              <w:t>FinCEN - Currency Transaction Report rule (31 CFR 1010.311)</w:t>
            </w:r>
          </w:p>
        </w:tc>
      </w:tr>
      <w:tr>
        <w:tc>
          <w:tcPr>
            <w:tcW w:type="dxa" w:w="2839"/>
          </w:tcPr>
          <w:p>
            <w:r>
              <w:t>Broker-dealer SAR threshold</w:t>
            </w:r>
          </w:p>
        </w:tc>
        <w:tc>
          <w:tcPr>
            <w:tcW w:type="dxa" w:w="4258"/>
          </w:tcPr>
          <w:p>
            <w:r>
              <w:t>$5,000 in suspicious activity</w:t>
            </w:r>
          </w:p>
        </w:tc>
        <w:tc>
          <w:tcPr>
            <w:tcW w:type="dxa" w:w="2839"/>
          </w:tcPr>
          <w:p>
            <w:r>
              <w:t>FinCEN - SAR rule for broker-dealers (31 CFR 1023.320)</w:t>
            </w:r>
          </w:p>
        </w:tc>
      </w:tr>
      <w:tr>
        <w:tc>
          <w:tcPr>
            <w:tcW w:type="dxa" w:w="2839"/>
          </w:tcPr>
          <w:p>
            <w:r>
              <w:t>SIPC protection</w:t>
            </w:r>
          </w:p>
        </w:tc>
        <w:tc>
          <w:tcPr>
            <w:tcW w:type="dxa" w:w="4258"/>
          </w:tcPr>
          <w:p>
            <w:r>
              <w:t>Up to $500,000 per customer, including a $250,000 limit for cash</w:t>
            </w:r>
          </w:p>
        </w:tc>
        <w:tc>
          <w:tcPr>
            <w:tcW w:type="dxa" w:w="2839"/>
          </w:tcPr>
          <w:p>
            <w:r>
              <w:t>SIPC - What SIPC Protects</w:t>
            </w:r>
          </w:p>
        </w:tc>
      </w:tr>
      <w:tr>
        <w:tc>
          <w:tcPr>
            <w:tcW w:type="dxa" w:w="2839"/>
          </w:tcPr>
          <w:p>
            <w:r>
              <w:t>Reg T initial margin</w:t>
            </w:r>
          </w:p>
        </w:tc>
        <w:tc>
          <w:tcPr>
            <w:tcW w:type="dxa" w:w="4258"/>
          </w:tcPr>
          <w:p>
            <w:r>
              <w:t>50% of purchase price</w:t>
            </w:r>
          </w:p>
        </w:tc>
        <w:tc>
          <w:tcPr>
            <w:tcW w:type="dxa" w:w="2839"/>
          </w:tcPr>
          <w:p>
            <w:r>
              <w:t>Federal Reserve Regulation T (12 CFR Part 220)</w:t>
            </w:r>
          </w:p>
        </w:tc>
      </w:tr>
      <w:tr>
        <w:tc>
          <w:tcPr>
            <w:tcW w:type="dxa" w:w="2839"/>
          </w:tcPr>
          <w:p>
            <w:r>
              <w:t>FINRA minimum margin equity</w:t>
            </w:r>
          </w:p>
        </w:tc>
        <w:tc>
          <w:tcPr>
            <w:tcW w:type="dxa" w:w="4258"/>
          </w:tcPr>
          <w:p>
            <w:r>
              <w:t>$2,000 to open (FINRA Rule 4210)</w:t>
            </w:r>
          </w:p>
        </w:tc>
        <w:tc>
          <w:tcPr>
            <w:tcW w:type="dxa" w:w="2839"/>
          </w:tcPr>
          <w:p>
            <w:r>
              <w:t>FINRA Rule 4210 - Margin Requirements</w:t>
            </w:r>
          </w:p>
        </w:tc>
      </w:tr>
      <w:tr>
        <w:tc>
          <w:tcPr>
            <w:tcW w:type="dxa" w:w="2839"/>
          </w:tcPr>
          <w:p>
            <w:r>
              <w:t>Rule 144 holding period</w:t>
            </w:r>
          </w:p>
        </w:tc>
        <w:tc>
          <w:tcPr>
            <w:tcW w:type="dxa" w:w="4258"/>
          </w:tcPr>
          <w:p>
            <w:r>
              <w:t>6 months (reporting issuer) or 1 year (non-reporting) for restricted stock</w:t>
            </w:r>
          </w:p>
        </w:tc>
        <w:tc>
          <w:tcPr>
            <w:tcW w:type="dxa" w:w="2839"/>
          </w:tcPr>
          <w:p>
            <w:r>
              <w:t>SEC Rule 144 (17 CFR 230.144)</w:t>
            </w:r>
          </w:p>
        </w:tc>
      </w:tr>
      <w:tr>
        <w:tc>
          <w:tcPr>
            <w:tcW w:type="dxa" w:w="2839"/>
          </w:tcPr>
          <w:p>
            <w:r>
              <w:t>Accredited investor (natural person)</w:t>
            </w:r>
          </w:p>
        </w:tc>
        <w:tc>
          <w:tcPr>
            <w:tcW w:type="dxa" w:w="4258"/>
          </w:tcPr>
          <w:p>
            <w:r>
              <w:t>$200,000 income ($300,000 joint) in each of the last 2 years, or $1 million net worth excluding primary residence</w:t>
            </w:r>
          </w:p>
        </w:tc>
        <w:tc>
          <w:tcPr>
            <w:tcW w:type="dxa" w:w="2839"/>
          </w:tcPr>
          <w:p>
            <w:r>
              <w:t>SEC Rule 501 - Accredited investor definition (17 CFR 230.501)</w:t>
            </w:r>
          </w:p>
        </w:tc>
      </w:tr>
      <w:tr>
        <w:tc>
          <w:tcPr>
            <w:tcW w:type="dxa" w:w="2839"/>
          </w:tcPr>
          <w:p>
            <w:r>
              <w:t>FINRA gift limit</w:t>
            </w:r>
          </w:p>
        </w:tc>
        <w:tc>
          <w:tcPr>
            <w:tcW w:type="dxa" w:w="4258"/>
          </w:tcPr>
          <w:p>
            <w:r>
              <w:t>$300 per person per year (raised from $100, effective March 30, 2026)</w:t>
            </w:r>
          </w:p>
        </w:tc>
        <w:tc>
          <w:tcPr>
            <w:tcW w:type="dxa" w:w="2839"/>
          </w:tcPr>
          <w:p>
            <w:r>
              <w:t>FINRA Regulatory Notice 26-05 - Gifts Rule amendments ($300 limit, effective March 30, 2026)</w:t>
            </w:r>
          </w:p>
        </w:tc>
      </w:tr>
      <w:tr>
        <w:tc>
          <w:tcPr>
            <w:tcW w:type="dxa" w:w="2839"/>
          </w:tcPr>
          <w:p>
            <w:r>
              <w:t>2026 IRA contribution limit</w:t>
            </w:r>
          </w:p>
        </w:tc>
        <w:tc>
          <w:tcPr>
            <w:tcW w:type="dxa" w:w="4258"/>
          </w:tcPr>
          <w:p>
            <w:r>
              <w:t>$7,500 ($1,100 catch-up at 50+)</w:t>
            </w:r>
          </w:p>
        </w:tc>
        <w:tc>
          <w:tcPr>
            <w:tcW w:type="dxa" w:w="2839"/>
          </w:tcPr>
          <w:p>
            <w:r>
              <w:t>IRS - 401(k) limit increases to $24,500 for 2026, IRA limit increases to $7,500</w:t>
            </w:r>
          </w:p>
        </w:tc>
      </w:tr>
      <w:tr>
        <w:tc>
          <w:tcPr>
            <w:tcW w:type="dxa" w:w="2839"/>
          </w:tcPr>
          <w:p>
            <w:r>
              <w:t>SIE validity</w:t>
            </w:r>
          </w:p>
        </w:tc>
        <w:tc>
          <w:tcPr>
            <w:tcW w:type="dxa" w:w="4258"/>
          </w:tcPr>
          <w:p>
            <w:r>
              <w:t>4 years from passing</w:t>
            </w:r>
          </w:p>
        </w:tc>
        <w:tc>
          <w:tcPr>
            <w:tcW w:type="dxa" w:w="2839"/>
          </w:tcPr>
          <w:p>
            <w:r>
              <w:t>FINRA - SIE Exam and Exam Restructuring FAQ</w:t>
            </w:r>
          </w:p>
        </w:tc>
      </w:tr>
    </w:tbl>
    <w:p/>
    <w:p>
      <w:r>
        <w:rPr>
          <w:i/>
          <w:sz w:val="18"/>
        </w:rPr>
        <w:t>Verified 2026-09-23. Rules change; confirm on FINRA/NASAA before your exam. Study aid only; no reference materials are allowed in the test. FINRA and NASAA do not endorse SeriesPrepKit.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SeriesPrepKit (seriesprepkit.com).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