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84B"/>
          <w:sz w:val="32"/>
        </w:rPr>
        <w:t>SERIES 7 OUTLINE CHECKLIST</w:t>
      </w:r>
    </w:p>
    <w:p>
      <w:r>
        <w:rPr>
          <w:i/>
        </w:rPr>
        <w:t>SeriesPrepKit - seriesprepkit.com</w:t>
      </w:r>
    </w:p>
    <w:p>
      <w:r>
        <w:t>Official outline: FINRA - Series 7 Content Outline (2025). 125 scored questions, 3 hr 45 min, pass: 72 (scaled).</w:t>
      </w:r>
    </w:p>
    <w:p>
      <w:pPr>
        <w:spacing w:before="160"/>
      </w:pPr>
      <w:r>
        <w:rPr>
          <w:b/>
          <w:color w:val="14284B"/>
          <w:sz w:val="23"/>
        </w:rPr>
        <w:t>[ ] F1: Seeks Business for the Broker-Dealer (7%, 9 questions)</w:t>
      </w:r>
    </w:p>
    <w:p>
      <w:pPr>
        <w:pStyle w:val="ListBullet"/>
      </w:pPr>
      <w:r>
        <w:t>[ ] Communications: retail, institutional and correspondence; which require principal pre-approval and filing under FINRA Rule 2210.</w:t>
      </w:r>
    </w:p>
    <w:p>
      <w:pPr>
        <w:pStyle w:val="ListBullet"/>
      </w:pPr>
      <w:r>
        <w:t>[ ] Research reports, quiet periods and seminars; options communications and delivery of the Options Disclosure Document.</w:t>
      </w:r>
    </w:p>
    <w:p>
      <w:pPr>
        <w:pStyle w:val="ListBullet"/>
      </w:pPr>
      <w:r>
        <w:t>[ ] New issues: registration statement, red herring, final prospectus, cooling-off period rules and what you may say before effectiveness.</w:t>
      </w:r>
    </w:p>
    <w:p>
      <w:pPr>
        <w:pStyle w:val="ListBullet"/>
      </w:pPr>
      <w:r>
        <w:t>[ ] Municipal primary market: competitive vs. negotiated sales, official statements, syndicate roles, spread components.</w:t>
      </w:r>
    </w:p>
    <w:p>
      <w:pPr>
        <w:pStyle w:val="ListBullet"/>
      </w:pPr>
      <w:r>
        <w:t>[ ] Exempt offerings: Regulation D, Regulation A, Rule 144A, Section 3(a)(11) intrastate.</w:t>
      </w:r>
    </w:p>
    <w:p>
      <w:r>
        <w:rPr>
          <w:i/>
          <w:sz w:val="18"/>
        </w:rPr>
        <w:t>Trap: Treating an unsolicited indication of interest as a binding order during the cooling-off period.</w:t>
      </w:r>
    </w:p>
    <w:p>
      <w:pPr>
        <w:spacing w:before="160"/>
      </w:pPr>
      <w:r>
        <w:rPr>
          <w:b/>
          <w:color w:val="14284B"/>
          <w:sz w:val="23"/>
        </w:rPr>
        <w:t>[ ] F2: Opens Accounts / Evaluates Customer Profile (9%, 11 questions)</w:t>
      </w:r>
    </w:p>
    <w:p>
      <w:pPr>
        <w:pStyle w:val="ListBullet"/>
      </w:pPr>
      <w:r>
        <w:t>[ ] Account types and registrations, including TIC vs. JTWROS, community property, trusts, estates and corporate accounts.</w:t>
      </w:r>
    </w:p>
    <w:p>
      <w:pPr>
        <w:pStyle w:val="ListBullet"/>
      </w:pPr>
      <w:r>
        <w:t>[ ] Retirement accounts: IRAs, rollovers vs. transfers, employer plans and ERISA basics.</w:t>
      </w:r>
    </w:p>
    <w:p>
      <w:pPr>
        <w:pStyle w:val="ListBullet"/>
      </w:pPr>
      <w:r>
        <w:t>[ ] Customer identification (CIP), KYC, and the customer investment profile under Reg BI and FINRA Rule 2111.</w:t>
      </w:r>
    </w:p>
    <w:p>
      <w:pPr>
        <w:pStyle w:val="ListBullet"/>
      </w:pPr>
      <w:r>
        <w:t>[ ] Account authorizations: power of attorney, trading authorization, discretionary accounts.</w:t>
      </w:r>
    </w:p>
    <w:p>
      <w:pPr>
        <w:pStyle w:val="ListBullet"/>
      </w:pPr>
      <w:r>
        <w:t>[ ] Principal approval for account opening and when to refuse or restrict an account.</w:t>
      </w:r>
    </w:p>
    <w:p>
      <w:r>
        <w:rPr>
          <w:i/>
          <w:sz w:val="18"/>
        </w:rPr>
        <w:t>Trap: Forgetting that Reg BI's care obligation applies to recommendations to retail customers, including recommendations of account type.</w:t>
      </w:r>
    </w:p>
    <w:p>
      <w:pPr>
        <w:spacing w:before="160"/>
      </w:pPr>
      <w:r>
        <w:rPr>
          <w:b/>
          <w:color w:val="14284B"/>
          <w:sz w:val="23"/>
        </w:rPr>
        <w:t>[ ] F3: Provides Investment Information, Makes Suitable Recommendations (73%, 91 questions)</w:t>
      </w:r>
    </w:p>
    <w:p>
      <w:pPr>
        <w:pStyle w:val="ListBullet"/>
      </w:pPr>
      <w:r>
        <w:t>[ ] Equity: stock types, rights of common and preferred holders, rights and warrants, ADRs, penny-stock rules, cost basis and wash sales.</w:t>
      </w:r>
    </w:p>
    <w:p>
      <w:pPr>
        <w:pStyle w:val="ListBullet"/>
      </w:pPr>
      <w:r>
        <w:t>[ ] Debt: yields (nominal, current, YTM, YTC, YTW), ratings, OID, convertibles and conversion parity; Treasuries, TIPS, STRIPS, agencies and CMOs.</w:t>
      </w:r>
    </w:p>
    <w:p>
      <w:pPr>
        <w:pStyle w:val="ListBullet"/>
      </w:pPr>
      <w:r>
        <w:t>[ ] Municipal securities: GO vs. revenue analysis, call and refunding features, tax treatment and taxable-equivalent yield.</w:t>
      </w:r>
    </w:p>
    <w:p>
      <w:pPr>
        <w:pStyle w:val="ListBullet"/>
      </w:pPr>
      <w:r>
        <w:t>[ ] Options: payoffs, breakevens, max gain and loss for long and short calls and puts, covered calls, protective puts, spreads and straddles.</w:t>
      </w:r>
    </w:p>
    <w:p>
      <w:pPr>
        <w:pStyle w:val="ListBullet"/>
      </w:pPr>
      <w:r>
        <w:t>[ ] Packaged products: mutual fund pricing and breakpoints, variable annuities (accumulation vs. annuity units, AIR), REITs, DPPs and alternatives.</w:t>
      </w:r>
    </w:p>
    <w:p>
      <w:pPr>
        <w:pStyle w:val="ListBullet"/>
      </w:pPr>
      <w:r>
        <w:t>[ ] Portfolio theory and fundamental analysis: diversification, alpha/beta, CAPM, balance-sheet and income-statement ratios.</w:t>
      </w:r>
    </w:p>
    <w:p>
      <w:r>
        <w:rPr>
          <w:i/>
          <w:sz w:val="18"/>
        </w:rPr>
        <w:t>Trap: Computing an options breakeven correctly but forgetting to ask whether the position is bullish or bearish, which is what the question is really testing.</w:t>
      </w:r>
    </w:p>
    <w:p>
      <w:pPr>
        <w:spacing w:before="160"/>
      </w:pPr>
      <w:r>
        <w:rPr>
          <w:b/>
          <w:color w:val="14284B"/>
          <w:sz w:val="23"/>
        </w:rPr>
        <w:t>[ ] F4: Obtains and Processes Transaction Instructions (11%, 14 questions)</w:t>
      </w:r>
    </w:p>
    <w:p>
      <w:pPr>
        <w:pStyle w:val="ListBullet"/>
      </w:pPr>
      <w:r>
        <w:t>[ ] Order handling: order types, trade capacity, best execution, and trade reporting.</w:t>
      </w:r>
    </w:p>
    <w:p>
      <w:pPr>
        <w:pStyle w:val="ListBullet"/>
      </w:pPr>
      <w:r>
        <w:t>[ ] Confirmations and account statements; settlement dates (T+1 regular way); good delivery.</w:t>
      </w:r>
    </w:p>
    <w:p>
      <w:pPr>
        <w:pStyle w:val="ListBullet"/>
      </w:pPr>
      <w:r>
        <w:t>[ ] Margin (outline section 4.4): Reg T initial requirement, FINRA 4210 maintenance, debit and credit balances, SMA and buying power.</w:t>
      </w:r>
    </w:p>
    <w:p>
      <w:pPr>
        <w:pStyle w:val="ListBullet"/>
      </w:pPr>
      <w:r>
        <w:t>[ ] Customer complaints, errors and corrections.</w:t>
      </w:r>
    </w:p>
    <w:p>
      <w:r>
        <w:rPr>
          <w:i/>
          <w:sz w:val="18"/>
        </w:rPr>
        <w:t>Trap: Applying the long-account maintenance percentage to a short account; FINRA's maintenance rules differ for short positions.</w:t>
      </w:r>
    </w:p>
    <w:p>
      <w:r>
        <w:rPr>
          <w:i/>
          <w:sz w:val="18"/>
        </w:rPr>
        <w:t>Checked against the official outline on 2026-09-23. FINRA and NASAA do not endorse SeriesPrepKit.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SeriesPrepKit (seriesprepkit.com).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