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284B"/>
          <w:sz w:val="32"/>
        </w:rPr>
        <w:t>SERIES 7 CHEAT SHEET</w:t>
      </w:r>
    </w:p>
    <w:p>
      <w:r>
        <w:rPr>
          <w:i/>
        </w:rPr>
        <w:t>SeriesPrepKit - seriesprepkit.com</w:t>
      </w:r>
    </w:p>
    <w:p>
      <w:pPr>
        <w:spacing w:before="160"/>
      </w:pPr>
      <w:r>
        <w:rPr>
          <w:b/>
          <w:color w:val="14284B"/>
          <w:sz w:val="23"/>
        </w:rPr>
        <w:t>Formulas and concepts</w:t>
      </w:r>
    </w:p>
    <w:p>
      <w:r>
        <w:t>Long call: Breakeven = strike + premium; max loss = premium; max gain = unlimited</w:t>
      </w:r>
    </w:p>
    <w:p>
      <w:r>
        <w:rPr>
          <w:i/>
          <w:sz w:val="18"/>
        </w:rPr>
        <w:t>Example: Buy 1 ABC Jan 40 call at $2.50: breakeven $42.50; max loss $250.</w:t>
      </w:r>
    </w:p>
    <w:p>
      <w:r>
        <w:t>Long put: Breakeven = strike - premium; max gain = strike - premium (x100)</w:t>
      </w:r>
    </w:p>
    <w:p>
      <w:r>
        <w:rPr>
          <w:i/>
          <w:sz w:val="18"/>
        </w:rPr>
        <w:t>Example: Buy 1 ABC 40 put at $3: breakeven $37; max gain $3,700 if ABC goes to 0; max loss $300.</w:t>
      </w:r>
    </w:p>
    <w:p>
      <w:r>
        <w:t>Covered call: Breakeven = stock cost - premium; max gain = strike - cost + premium</w:t>
      </w:r>
    </w:p>
    <w:p>
      <w:r>
        <w:rPr>
          <w:i/>
          <w:sz w:val="18"/>
        </w:rPr>
        <w:t>Example: Own 100 at $50, sell a 55 call for $2: breakeven $48; max gain (55 - 50 + 2) x 100 = $700; max loss $4,800.</w:t>
      </w:r>
    </w:p>
    <w:p>
      <w:r>
        <w:t>Long margin account: Equity = LMV - debit; Reg T = 50% of purchase</w:t>
      </w:r>
    </w:p>
    <w:p>
      <w:r>
        <w:rPr>
          <w:i/>
          <w:sz w:val="18"/>
        </w:rPr>
        <w:t>Example: Buy $20,000 of stock on margin: deposit $10,000, debit $10,000. At LMV $18,000, equity = 18,000 - 10,000 = $8,000.</w:t>
      </w:r>
    </w:p>
    <w:p>
      <w:r>
        <w:t>Long maintenance call price: Debit / 0.75</w:t>
      </w:r>
    </w:p>
    <w:p>
      <w:r>
        <w:rPr>
          <w:i/>
          <w:sz w:val="18"/>
        </w:rPr>
        <w:t>Example: With a $10,000 debit, a maintenance call hits when LMV falls below 10,000 / 0.75 = $13,333 (25% minimum).</w:t>
      </w:r>
    </w:p>
    <w:p>
      <w:r>
        <w:t>Taxable-equivalent yield: Muni yield / (1 - tax bracket)</w:t>
      </w:r>
    </w:p>
    <w:p>
      <w:r>
        <w:rPr>
          <w:i/>
          <w:sz w:val="18"/>
        </w:rPr>
        <w:t>Example: A 3.3% muni for a 32% bracket investor: 3.3 / 0.68 = 4.85%.</w:t>
      </w:r>
    </w:p>
    <w:p>
      <w:r>
        <w:t>Conversion parity: Par / conversion price = conversion ratio; parity = bond price / ratio</w:t>
      </w:r>
    </w:p>
    <w:p>
      <w:r>
        <w:rPr>
          <w:i/>
          <w:sz w:val="18"/>
        </w:rPr>
        <w:t>Example: $1,000 bond convertible at $25 = 40 shares. Bond at $1,080: parity stock price = 1,080 / 40 = $27.</w:t>
      </w:r>
    </w:p>
    <w:p>
      <w:r>
        <w:t>Current yield: Annual interest / market price</w:t>
      </w:r>
    </w:p>
    <w:p>
      <w:r>
        <w:rPr>
          <w:i/>
          <w:sz w:val="18"/>
        </w:rPr>
        <w:t>Example: 6% coupon at 104 ($1,040): 60 / 1,040 = 5.77%.</w:t>
      </w:r>
    </w:p>
    <w:p>
      <w:pPr>
        <w:spacing w:before="160"/>
      </w:pPr>
      <w:r>
        <w:rPr>
          <w:b/>
          <w:color w:val="14284B"/>
          <w:sz w:val="23"/>
        </w:rPr>
        <w:t>Numbers to memorize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839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258"/>
          </w:tcPr>
          <w:p>
            <w:r>
              <w:rPr>
                <w:b/>
              </w:rPr>
              <w:t>Number / rule</w:t>
            </w:r>
          </w:p>
        </w:tc>
        <w:tc>
          <w:tcPr>
            <w:tcW w:type="dxa" w:w="2839"/>
          </w:tcPr>
          <w:p>
            <w:r>
              <w:rPr>
                <w:b/>
              </w:rPr>
              <w:t>Source</w:t>
            </w:r>
          </w:p>
        </w:tc>
      </w:tr>
      <w:tr>
        <w:tc>
          <w:tcPr>
            <w:tcW w:type="dxa" w:w="2839"/>
          </w:tcPr>
          <w:p>
            <w:r>
              <w:t>Reg T initial requirement</w:t>
            </w:r>
          </w:p>
        </w:tc>
        <w:tc>
          <w:tcPr>
            <w:tcW w:type="dxa" w:w="4258"/>
          </w:tcPr>
          <w:p>
            <w:r>
              <w:t>50% of the purchase (or short sale proceeds)</w:t>
            </w:r>
          </w:p>
        </w:tc>
        <w:tc>
          <w:tcPr>
            <w:tcW w:type="dxa" w:w="2839"/>
          </w:tcPr>
          <w:p>
            <w:r>
              <w:t>Federal Reserve Regulation T (12 CFR Part 220)</w:t>
            </w:r>
          </w:p>
        </w:tc>
      </w:tr>
      <w:tr>
        <w:tc>
          <w:tcPr>
            <w:tcW w:type="dxa" w:w="2839"/>
          </w:tcPr>
          <w:p>
            <w:r>
              <w:t>FINRA maintenance (long)</w:t>
            </w:r>
          </w:p>
        </w:tc>
        <w:tc>
          <w:tcPr>
            <w:tcW w:type="dxa" w:w="4258"/>
          </w:tcPr>
          <w:p>
            <w:r>
              <w:t>25% of long market value</w:t>
            </w:r>
          </w:p>
        </w:tc>
        <w:tc>
          <w:tcPr>
            <w:tcW w:type="dxa" w:w="2839"/>
          </w:tcPr>
          <w:p>
            <w:r>
              <w:t>FINRA Rule 4210 - Margin Requirements</w:t>
            </w:r>
          </w:p>
        </w:tc>
      </w:tr>
      <w:tr>
        <w:tc>
          <w:tcPr>
            <w:tcW w:type="dxa" w:w="2839"/>
          </w:tcPr>
          <w:p>
            <w:r>
              <w:t>FINRA minimum equity</w:t>
            </w:r>
          </w:p>
        </w:tc>
        <w:tc>
          <w:tcPr>
            <w:tcW w:type="dxa" w:w="4258"/>
          </w:tcPr>
          <w:p>
            <w:r>
              <w:t>$2,000</w:t>
            </w:r>
          </w:p>
        </w:tc>
        <w:tc>
          <w:tcPr>
            <w:tcW w:type="dxa" w:w="2839"/>
          </w:tcPr>
          <w:p>
            <w:r>
              <w:t>FINRA Rule 4210 - Margin Requirements</w:t>
            </w:r>
          </w:p>
        </w:tc>
      </w:tr>
      <w:tr>
        <w:tc>
          <w:tcPr>
            <w:tcW w:type="dxa" w:w="2839"/>
          </w:tcPr>
          <w:p>
            <w:r>
              <w:t>Pattern day trader rules</w:t>
            </w:r>
          </w:p>
        </w:tc>
        <w:tc>
          <w:tcPr>
            <w:tcW w:type="dxa" w:w="4258"/>
          </w:tcPr>
          <w:p>
            <w:r>
              <w:t>The $25,000 PDT minimum was replaced by intraday margin standards effective June 4, 2026 (firms may phase in until Oct 20, 2027). Check which version your exam tests.</w:t>
            </w:r>
          </w:p>
        </w:tc>
        <w:tc>
          <w:tcPr>
            <w:tcW w:type="dxa" w:w="2839"/>
          </w:tcPr>
          <w:p>
            <w:r>
              <w:t>FINRA Regulatory Notice 26-10 - Intraday margin standards replace day-trading rules (effective June 4, 2026)</w:t>
            </w:r>
          </w:p>
        </w:tc>
      </w:tr>
      <w:tr>
        <w:tc>
          <w:tcPr>
            <w:tcW w:type="dxa" w:w="2839"/>
          </w:tcPr>
          <w:p>
            <w:r>
              <w:t>Settlement</w:t>
            </w:r>
          </w:p>
        </w:tc>
        <w:tc>
          <w:tcPr>
            <w:tcW w:type="dxa" w:w="4258"/>
          </w:tcPr>
          <w:p>
            <w:r>
              <w:t>T+1 regular way for stocks, corporate and municipal bonds</w:t>
            </w:r>
          </w:p>
        </w:tc>
        <w:tc>
          <w:tcPr>
            <w:tcW w:type="dxa" w:w="2839"/>
          </w:tcPr>
          <w:p>
            <w:r>
              <w:t>SEC - Shortening the securities settlement cycle to T+1 (compliance date May 28, 2024)</w:t>
            </w:r>
          </w:p>
        </w:tc>
      </w:tr>
      <w:tr>
        <w:tc>
          <w:tcPr>
            <w:tcW w:type="dxa" w:w="2839"/>
          </w:tcPr>
          <w:p>
            <w:r>
              <w:t>Options contract size</w:t>
            </w:r>
          </w:p>
        </w:tc>
        <w:tc>
          <w:tcPr>
            <w:tcW w:type="dxa" w:w="4258"/>
          </w:tcPr>
          <w:p>
            <w:r>
              <w:t>100 shares per standard equity option</w:t>
            </w:r>
          </w:p>
        </w:tc>
        <w:tc>
          <w:tcPr>
            <w:tcW w:type="dxa" w:w="2839"/>
          </w:tcPr>
          <w:p>
            <w:r>
              <w:t>FINRA - Series 7 Content Outline (2025)</w:t>
            </w:r>
          </w:p>
        </w:tc>
      </w:tr>
      <w:tr>
        <w:tc>
          <w:tcPr>
            <w:tcW w:type="dxa" w:w="2839"/>
          </w:tcPr>
          <w:p>
            <w:r>
              <w:t>FINRA gift limit</w:t>
            </w:r>
          </w:p>
        </w:tc>
        <w:tc>
          <w:tcPr>
            <w:tcW w:type="dxa" w:w="4258"/>
          </w:tcPr>
          <w:p>
            <w:r>
              <w:t>$300 per person per year (effective March 30, 2026)</w:t>
            </w:r>
          </w:p>
        </w:tc>
        <w:tc>
          <w:tcPr>
            <w:tcW w:type="dxa" w:w="2839"/>
          </w:tcPr>
          <w:p>
            <w:r>
              <w:t>FINRA Regulatory Notice 26-05 - Gifts Rule amendments ($300 limit, effective March 30, 2026)</w:t>
            </w:r>
          </w:p>
        </w:tc>
      </w:tr>
      <w:tr>
        <w:tc>
          <w:tcPr>
            <w:tcW w:type="dxa" w:w="2839"/>
          </w:tcPr>
          <w:p>
            <w:r>
              <w:t>2026 IRA contribution limit</w:t>
            </w:r>
          </w:p>
        </w:tc>
        <w:tc>
          <w:tcPr>
            <w:tcW w:type="dxa" w:w="4258"/>
          </w:tcPr>
          <w:p>
            <w:r>
              <w:t>$7,500 ($1,100 catch-up at 50+)</w:t>
            </w:r>
          </w:p>
        </w:tc>
        <w:tc>
          <w:tcPr>
            <w:tcW w:type="dxa" w:w="2839"/>
          </w:tcPr>
          <w:p>
            <w:r>
              <w:t>IRS - 401(k) limit increases to $24,500 for 2026, IRA limit increases to $7,500</w:t>
            </w:r>
          </w:p>
        </w:tc>
      </w:tr>
      <w:tr>
        <w:tc>
          <w:tcPr>
            <w:tcW w:type="dxa" w:w="2839"/>
          </w:tcPr>
          <w:p>
            <w:r>
              <w:t>2026 401(k) deferral limit</w:t>
            </w:r>
          </w:p>
        </w:tc>
        <w:tc>
          <w:tcPr>
            <w:tcW w:type="dxa" w:w="4258"/>
          </w:tcPr>
          <w:p>
            <w:r>
              <w:t>$24,500</w:t>
            </w:r>
          </w:p>
        </w:tc>
        <w:tc>
          <w:tcPr>
            <w:tcW w:type="dxa" w:w="2839"/>
          </w:tcPr>
          <w:p>
            <w:r>
              <w:t>IRS - 401(k) limit increases to $24,500 for 2026, IRA limit increases to $7,500</w:t>
            </w:r>
          </w:p>
        </w:tc>
      </w:tr>
      <w:tr>
        <w:tc>
          <w:tcPr>
            <w:tcW w:type="dxa" w:w="2839"/>
          </w:tcPr>
          <w:p>
            <w:r>
              <w:t>Reg BI</w:t>
            </w:r>
          </w:p>
        </w:tc>
        <w:tc>
          <w:tcPr>
            <w:tcW w:type="dxa" w:w="4258"/>
          </w:tcPr>
          <w:p>
            <w:r>
              <w:t>Disclosure, care, conflict-of-interest and compliance obligations for recommendations to retail customers</w:t>
            </w:r>
          </w:p>
        </w:tc>
        <w:tc>
          <w:tcPr>
            <w:tcW w:type="dxa" w:w="2839"/>
          </w:tcPr>
          <w:p>
            <w:r>
              <w:t>SEC - Regulation Best Interest</w:t>
            </w:r>
          </w:p>
        </w:tc>
      </w:tr>
    </w:tbl>
    <w:p/>
    <w:p>
      <w:r>
        <w:rPr>
          <w:i/>
          <w:sz w:val="18"/>
        </w:rPr>
        <w:t>Verified 2026-09-23. Rules change; confirm on FINRA/NASAA before your exam. Study aid only; no reference materials are allowed in the test. FINRA and NASAA do not endorse SeriesPrepKit.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SeriesPrepKit (seriesprepkit.com).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