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65 OUTLINE CHECKLIST</w:t>
      </w:r>
    </w:p>
    <w:p>
      <w:r>
        <w:rPr>
          <w:i/>
        </w:rPr>
        <w:t>SeriesPrepKit - seriesprepkit.com</w:t>
      </w:r>
    </w:p>
    <w:p>
      <w:r>
        <w:t>Official outline: NASAA - Series 65 Test Specifications (effective June 12, 2023). 130 scored questions, 3 hr, pass: 92 of 130 correct (about 71%).</w:t>
      </w:r>
    </w:p>
    <w:p>
      <w:pPr>
        <w:spacing w:before="160"/>
      </w:pPr>
      <w:r>
        <w:rPr>
          <w:b/>
          <w:color w:val="14284B"/>
          <w:sz w:val="23"/>
        </w:rPr>
        <w:t>[ ] I. Economic Factors and Business Information (15%, 20 questions)</w:t>
      </w:r>
    </w:p>
    <w:p>
      <w:pPr>
        <w:pStyle w:val="ListBullet"/>
      </w:pPr>
      <w:r>
        <w:t>[ ] Business cycles, monetary and fiscal policy, inflation, interest rates, yield curves and credit spreads.</w:t>
      </w:r>
    </w:p>
    <w:p>
      <w:pPr>
        <w:pStyle w:val="ListBullet"/>
      </w:pPr>
      <w:r>
        <w:t>[ ] Financial statements and accounting basics.</w:t>
      </w:r>
    </w:p>
    <w:p>
      <w:pPr>
        <w:pStyle w:val="ListBullet"/>
      </w:pPr>
      <w:r>
        <w:t>[ ] Time value of money (IRR, NPV, FV), descriptive statistics (standard deviation, beta, alpha, Sharpe), and ratios (current, quick, debt-to-equity, P/E, P/B).</w:t>
      </w:r>
    </w:p>
    <w:p>
      <w:pPr>
        <w:pStyle w:val="ListBullet"/>
      </w:pPr>
      <w:r>
        <w:t>[ ] Systematic vs. unsystematic risk; capital structure and liquidation priority.</w:t>
      </w:r>
    </w:p>
    <w:p>
      <w:r>
        <w:rPr>
          <w:i/>
          <w:sz w:val="18"/>
        </w:rPr>
        <w:t>Trap: Confusing standard deviation (total risk) with beta (systematic risk).</w:t>
      </w:r>
    </w:p>
    <w:p>
      <w:pPr>
        <w:spacing w:before="160"/>
      </w:pPr>
      <w:r>
        <w:rPr>
          <w:b/>
          <w:color w:val="14284B"/>
          <w:sz w:val="23"/>
        </w:rPr>
        <w:t>[ ] II. Investment Vehicle Characteristics (25%, 32 questions)</w:t>
      </w:r>
    </w:p>
    <w:p>
      <w:pPr>
        <w:pStyle w:val="ListBullet"/>
      </w:pPr>
      <w:r>
        <w:t>[ ] Cash equivalents, fixed income types and valuation (duration, YTM, YTC, credit spread).</w:t>
      </w:r>
    </w:p>
    <w:p>
      <w:pPr>
        <w:pStyle w:val="ListBullet"/>
      </w:pPr>
      <w:r>
        <w:t>[ ] Equities, valuation methods and public offerings, including SPACs.</w:t>
      </w:r>
    </w:p>
    <w:p>
      <w:pPr>
        <w:pStyle w:val="ListBullet"/>
      </w:pPr>
      <w:r>
        <w:t>[ ] Pooled investments: mutual funds, private funds, UITs, ETFs, REITs; share classes and costs.</w:t>
      </w:r>
    </w:p>
    <w:p>
      <w:pPr>
        <w:pStyle w:val="ListBullet"/>
      </w:pPr>
      <w:r>
        <w:t>[ ] Derivatives, alternatives (ETNs, leveraged and inverse funds), annuities, life insurance, commodities and digital assets.</w:t>
      </w:r>
    </w:p>
    <w:p>
      <w:r>
        <w:rPr>
          <w:i/>
          <w:sz w:val="18"/>
        </w:rPr>
        <w:t>Trap: Holding leveraged or inverse funds long term: they reset daily and can drift far from the multiple of the index over time.</w:t>
      </w:r>
    </w:p>
    <w:p>
      <w:pPr>
        <w:spacing w:before="160"/>
      </w:pPr>
      <w:r>
        <w:rPr>
          <w:b/>
          <w:color w:val="14284B"/>
          <w:sz w:val="23"/>
        </w:rPr>
        <w:t>[ ] III. Client Investment Recommendations and Strategies (30%, 39 questions)</w:t>
      </w:r>
    </w:p>
    <w:p>
      <w:pPr>
        <w:pStyle w:val="ListBullet"/>
      </w:pPr>
      <w:r>
        <w:t>[ ] Client types, client profile and risk tolerance.</w:t>
      </w:r>
    </w:p>
    <w:p>
      <w:pPr>
        <w:pStyle w:val="ListBullet"/>
      </w:pPr>
      <w:r>
        <w:t>[ ] CAPM, Modern Portfolio Theory and the Efficient Market Hypothesis.</w:t>
      </w:r>
    </w:p>
    <w:p>
      <w:pPr>
        <w:pStyle w:val="ListBullet"/>
      </w:pPr>
      <w:r>
        <w:t>[ ] Strategies and styles: strategic vs. tactical allocation, active vs. passive, growth vs. value.</w:t>
      </w:r>
    </w:p>
    <w:p>
      <w:pPr>
        <w:pStyle w:val="ListBullet"/>
      </w:pPr>
      <w:r>
        <w:t>[ ] Taxes, retirement plans, ERISA, special accounts (529, Coverdell, UTMA/UGMA, HSA) and estate planning.</w:t>
      </w:r>
    </w:p>
    <w:p>
      <w:pPr>
        <w:pStyle w:val="ListBullet"/>
      </w:pPr>
      <w:r>
        <w:t>[ ] Trading terminology, best execution and performance measures (time-weighted vs. dollar-weighted return).</w:t>
      </w:r>
    </w:p>
    <w:p>
      <w:r>
        <w:rPr>
          <w:i/>
          <w:sz w:val="18"/>
        </w:rPr>
        <w:t>Trap: Using dollar-weighted return to judge a manager who does not control client cash flows; time-weighted is the right measure.</w:t>
      </w:r>
    </w:p>
    <w:p>
      <w:pPr>
        <w:spacing w:before="160"/>
      </w:pPr>
      <w:r>
        <w:rPr>
          <w:b/>
          <w:color w:val="14284B"/>
          <w:sz w:val="23"/>
        </w:rPr>
        <w:t>[ ] IV. Laws, Regulations and Guidelines, incl. Prohibition on Unethical Business Practices (30%, 39 questions)</w:t>
      </w:r>
    </w:p>
    <w:p>
      <w:pPr>
        <w:pStyle w:val="ListBullet"/>
      </w:pPr>
      <w:r>
        <w:t>[ ] Definitions and registration of IAs and IARs, including federal covered vs. state-registered advisers and notice filing.</w:t>
      </w:r>
    </w:p>
    <w:p>
      <w:pPr>
        <w:pStyle w:val="ListBullet"/>
      </w:pPr>
      <w:r>
        <w:t>[ ] Books and records, custody, discretion and fiduciary duty.</w:t>
      </w:r>
    </w:p>
    <w:p>
      <w:pPr>
        <w:pStyle w:val="ListBullet"/>
      </w:pPr>
      <w:r>
        <w:t>[ ] Communications, performance-based fees, soft dollars and compensation disclosure.</w:t>
      </w:r>
    </w:p>
    <w:p>
      <w:pPr>
        <w:pStyle w:val="ListBullet"/>
      </w:pPr>
      <w:r>
        <w:t>[ ] Prohibited practices: loans with clients, sharing in accounts, selling away, insider trading, exploitation of vulnerable adults.</w:t>
      </w:r>
    </w:p>
    <w:p>
      <w:r>
        <w:rPr>
          <w:i/>
          <w:sz w:val="18"/>
        </w:rPr>
        <w:t>Trap: Assuming a federal covered adviser is outside state jurisdiction entirely; states still receive notice filings and enforce antifraud rules.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