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4284B"/>
          <w:sz w:val="32"/>
        </w:rPr>
        <w:t>SERIES 6 OUTLINE CHECKLIST</w:t>
      </w:r>
    </w:p>
    <w:p>
      <w:r>
        <w:rPr>
          <w:i/>
        </w:rPr>
        <w:t>SeriesPrepKit - seriesprepkit.com</w:t>
      </w:r>
    </w:p>
    <w:p>
      <w:r>
        <w:t>Official outline: FINRA - Series 6 Content Outline. 50 scored questions, 1 hr 30 min, pass: 70 (scaled).</w:t>
      </w:r>
    </w:p>
    <w:p>
      <w:pPr>
        <w:spacing w:before="160"/>
      </w:pPr>
      <w:r>
        <w:rPr>
          <w:b/>
          <w:color w:val="14284B"/>
          <w:sz w:val="23"/>
        </w:rPr>
        <w:t>[ ] F1: Seeks Business for the Broker-Dealer (24%, 12 questions)</w:t>
      </w:r>
    </w:p>
    <w:p>
      <w:pPr>
        <w:pStyle w:val="ListBullet"/>
      </w:pPr>
      <w:r>
        <w:t>[ ] Communications with the public (Rule 2210), investment company sales literature and fund-ranking rules.</w:t>
      </w:r>
    </w:p>
    <w:p>
      <w:pPr>
        <w:pStyle w:val="ListBullet"/>
      </w:pPr>
      <w:r>
        <w:t>[ ] Variable contract advertising, seminars and required disclosures.</w:t>
      </w:r>
    </w:p>
    <w:p>
      <w:pPr>
        <w:pStyle w:val="ListBullet"/>
      </w:pPr>
      <w:r>
        <w:t>[ ] Prospectus delivery basics for investment companies.</w:t>
      </w:r>
    </w:p>
    <w:p>
      <w:r>
        <w:rPr>
          <w:i/>
          <w:sz w:val="18"/>
        </w:rPr>
        <w:t>Trap: Underestimating this section: at 24% it is a much larger share of the Series 6 than communications are on the Series 7.</w:t>
      </w:r>
    </w:p>
    <w:p>
      <w:pPr>
        <w:spacing w:before="160"/>
      </w:pPr>
      <w:r>
        <w:rPr>
          <w:b/>
          <w:color w:val="14284B"/>
          <w:sz w:val="23"/>
        </w:rPr>
        <w:t>[ ] F2: Opens Accounts After Obtaining and Evaluating Customer Profile (16%, 8 questions)</w:t>
      </w:r>
    </w:p>
    <w:p>
      <w:pPr>
        <w:pStyle w:val="ListBullet"/>
      </w:pPr>
      <w:r>
        <w:t>[ ] Account registrations and new-account requirements; CIP and KYC.</w:t>
      </w:r>
    </w:p>
    <w:p>
      <w:pPr>
        <w:pStyle w:val="ListBullet"/>
      </w:pPr>
      <w:r>
        <w:t>[ ] Retirement plans and 529 plans at the level of product recommendations.</w:t>
      </w:r>
    </w:p>
    <w:p>
      <w:pPr>
        <w:pStyle w:val="ListBullet"/>
      </w:pPr>
      <w:r>
        <w:t>[ ] Suitability and Reg BI profile factors.</w:t>
      </w:r>
    </w:p>
    <w:p>
      <w:r>
        <w:rPr>
          <w:i/>
          <w:sz w:val="18"/>
        </w:rPr>
        <w:t>Trap: Confusing a rollover (funds pass through your hands, 60-day limit) with a direct transfer.</w:t>
      </w:r>
    </w:p>
    <w:p>
      <w:pPr>
        <w:spacing w:before="160"/>
      </w:pPr>
      <w:r>
        <w:rPr>
          <w:b/>
          <w:color w:val="14284B"/>
          <w:sz w:val="23"/>
        </w:rPr>
        <w:t>[ ] F3: Provides Information, Makes Suitable Recommendations, Transfers Assets (50%, 25 questions)</w:t>
      </w:r>
    </w:p>
    <w:p>
      <w:pPr>
        <w:pStyle w:val="ListBullet"/>
      </w:pPr>
      <w:r>
        <w:t>[ ] Mutual fund structure, NAV, forward pricing, share classes, sales charges, breakpoints, LOI and ROA.</w:t>
      </w:r>
    </w:p>
    <w:p>
      <w:pPr>
        <w:pStyle w:val="ListBullet"/>
      </w:pPr>
      <w:r>
        <w:t>[ ] Variable annuities: separate account, accumulation and annuity units, assumed interest rate, surrender charges, 1035 exchanges.</w:t>
      </w:r>
    </w:p>
    <w:p>
      <w:pPr>
        <w:pStyle w:val="ListBullet"/>
      </w:pPr>
      <w:r>
        <w:t>[ ] UITs, ETFs, closed-end funds and municipal fund securities (529s).</w:t>
      </w:r>
    </w:p>
    <w:p>
      <w:pPr>
        <w:pStyle w:val="ListBullet"/>
      </w:pPr>
      <w:r>
        <w:t>[ ] Tax treatment of fund distributions and annuity payouts.</w:t>
      </w:r>
    </w:p>
    <w:p>
      <w:r>
        <w:rPr>
          <w:i/>
          <w:sz w:val="18"/>
        </w:rPr>
        <w:t>Trap: Recommending a purchase just below a breakpoint; that is a classic breakpoint-sales violation.</w:t>
      </w:r>
    </w:p>
    <w:p>
      <w:pPr>
        <w:spacing w:before="160"/>
      </w:pPr>
      <w:r>
        <w:rPr>
          <w:b/>
          <w:color w:val="14284B"/>
          <w:sz w:val="23"/>
        </w:rPr>
        <w:t>[ ] F4: Obtains and Verifies Instructions; Processes Transactions (10%, 5 questions)</w:t>
      </w:r>
    </w:p>
    <w:p>
      <w:pPr>
        <w:pStyle w:val="ListBullet"/>
      </w:pPr>
      <w:r>
        <w:t>[ ] Processing purchases, redemptions and exchanges; redemption price vs. offering price.</w:t>
      </w:r>
    </w:p>
    <w:p>
      <w:pPr>
        <w:pStyle w:val="ListBullet"/>
      </w:pPr>
      <w:r>
        <w:t>[ ] Confirmations, statements and settlement.</w:t>
      </w:r>
    </w:p>
    <w:p>
      <w:r>
        <w:rPr>
          <w:i/>
          <w:sz w:val="18"/>
        </w:rPr>
        <w:t>Trap: Forgetting that fund orders are filled at the next computed NAV (forward pricing), not the last one.</w:t>
      </w:r>
    </w:p>
    <w:p>
      <w:r>
        <w:rPr>
          <w:i/>
          <w:sz w:val="18"/>
        </w:rPr>
        <w:t>Checked against the official outline on 2026-09-23. FINRA and NASAA do not endorse SeriesPrepKit.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template from SeriesPrepKit (seriesprepkit.com). Edit freely for your business.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